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2D" w:rsidRDefault="00D41A58">
      <w:pPr>
        <w:pStyle w:val="PlainText"/>
        <w:tabs>
          <w:tab w:val="center" w:pos="1418"/>
          <w:tab w:val="center" w:pos="6237"/>
        </w:tabs>
        <w:ind w:right="-24"/>
        <w:rPr>
          <w:rFonts w:ascii="Times New Roman" w:hAnsi="Times New Roman"/>
          <w:b/>
          <w:sz w:val="26"/>
          <w:szCs w:val="29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b/>
          <w:sz w:val="26"/>
          <w:szCs w:val="29"/>
        </w:rPr>
        <w:t xml:space="preserve">ỦY BAN NHÂN DÂN </w:t>
      </w:r>
      <w:r>
        <w:rPr>
          <w:rFonts w:ascii="Times New Roman" w:hAnsi="Times New Roman"/>
          <w:b/>
          <w:sz w:val="26"/>
          <w:szCs w:val="29"/>
        </w:rPr>
        <w:tab/>
        <w:t>CỘNG HÒA XÃ HỘI CHỦ NGHĨA VIỆT NAM</w:t>
      </w:r>
    </w:p>
    <w:p w:rsidR="0086662D" w:rsidRDefault="00D41A58">
      <w:pPr>
        <w:tabs>
          <w:tab w:val="center" w:pos="1418"/>
          <w:tab w:val="center" w:pos="6237"/>
        </w:tabs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Cs w:val="29"/>
        </w:rPr>
        <w:tab/>
        <w:t xml:space="preserve">TỈNH LONG </w:t>
      </w:r>
      <w:proofErr w:type="gramStart"/>
      <w:r>
        <w:rPr>
          <w:rFonts w:ascii="Times New Roman" w:hAnsi="Times New Roman"/>
          <w:b/>
          <w:szCs w:val="29"/>
        </w:rPr>
        <w:t>AN</w:t>
      </w:r>
      <w:proofErr w:type="gramEnd"/>
      <w:r>
        <w:rPr>
          <w:rFonts w:ascii="Times New Roman" w:hAnsi="Times New Roman"/>
          <w:b/>
          <w:szCs w:val="29"/>
        </w:rPr>
        <w:tab/>
        <w:t>Độc lập - Tự do - Hạnh phúc</w:t>
      </w:r>
    </w:p>
    <w:p w:rsidR="0086662D" w:rsidRDefault="00D41A58">
      <w:pPr>
        <w:tabs>
          <w:tab w:val="center" w:pos="1350"/>
          <w:tab w:val="center" w:pos="6237"/>
        </w:tabs>
        <w:spacing w:line="240" w:lineRule="exact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  <w:vertAlign w:val="superscript"/>
        </w:rPr>
        <w:t>_________</w:t>
      </w:r>
      <w:r>
        <w:rPr>
          <w:rFonts w:ascii="Times New Roman" w:hAnsi="Times New Roman"/>
          <w:sz w:val="29"/>
          <w:szCs w:val="29"/>
          <w:vertAlign w:val="superscript"/>
        </w:rPr>
        <w:tab/>
        <w:t>________________________________</w:t>
      </w:r>
    </w:p>
    <w:p w:rsidR="0086662D" w:rsidRDefault="00D41A58">
      <w:pPr>
        <w:tabs>
          <w:tab w:val="center" w:pos="1418"/>
          <w:tab w:val="center" w:pos="6237"/>
        </w:tabs>
        <w:rPr>
          <w:rFonts w:ascii="Times New Roman" w:hAnsi="Times New Roman"/>
          <w:i/>
          <w:sz w:val="29"/>
          <w:szCs w:val="28"/>
        </w:rPr>
      </w:pPr>
      <w:r>
        <w:rPr>
          <w:rFonts w:ascii="Times New Roman" w:hAnsi="Times New Roman"/>
          <w:szCs w:val="28"/>
        </w:rPr>
        <w:tab/>
        <w:t xml:space="preserve">Số: </w:t>
      </w:r>
      <w:proofErr w:type="gramStart"/>
      <w:r>
        <w:rPr>
          <w:rFonts w:ascii="Times New Roman" w:hAnsi="Times New Roman"/>
          <w:szCs w:val="28"/>
        </w:rPr>
        <w:t>50  /</w:t>
      </w:r>
      <w:proofErr w:type="gramEnd"/>
      <w:r>
        <w:rPr>
          <w:rFonts w:ascii="Times New Roman" w:hAnsi="Times New Roman"/>
          <w:szCs w:val="28"/>
        </w:rPr>
        <w:t>2024/QĐ-UBND</w:t>
      </w:r>
      <w:r>
        <w:rPr>
          <w:rFonts w:ascii="Times New Roman" w:hAnsi="Times New Roman"/>
          <w:sz w:val="29"/>
          <w:szCs w:val="28"/>
        </w:rPr>
        <w:tab/>
      </w:r>
      <w:r>
        <w:rPr>
          <w:rFonts w:ascii="Times New Roman" w:hAnsi="Times New Roman"/>
          <w:i/>
          <w:szCs w:val="28"/>
        </w:rPr>
        <w:t>Long An, ngày   28   tháng   10  năm  2024</w:t>
      </w:r>
    </w:p>
    <w:p w:rsidR="0086662D" w:rsidRDefault="0086662D">
      <w:pPr>
        <w:rPr>
          <w:rFonts w:ascii="Times New Roman" w:hAnsi="Times New Roman"/>
          <w:b/>
          <w:i/>
          <w:sz w:val="27"/>
          <w:szCs w:val="27"/>
        </w:rPr>
      </w:pPr>
    </w:p>
    <w:p w:rsidR="0086662D" w:rsidRDefault="0086662D">
      <w:pPr>
        <w:pStyle w:val="Heading6"/>
        <w:keepNext w:val="0"/>
        <w:widowControl w:val="0"/>
        <w:ind w:firstLine="0"/>
      </w:pPr>
    </w:p>
    <w:p w:rsidR="0086662D" w:rsidRDefault="00D41A58">
      <w:pPr>
        <w:pStyle w:val="Heading6"/>
        <w:keepNext w:val="0"/>
        <w:widowControl w:val="0"/>
        <w:ind w:firstLine="0"/>
      </w:pPr>
      <w:r>
        <w:t>QUYẾT ĐỊNH</w:t>
      </w:r>
    </w:p>
    <w:p w:rsidR="0086662D" w:rsidRDefault="00D41A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Về việc quy định mức nộp tiền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theo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diện tích đất chuyên trồng lúa</w:t>
      </w:r>
    </w:p>
    <w:p w:rsidR="0086662D" w:rsidRDefault="00D41A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phải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chuyển sang mục đích phi nông nghiệp trên địa bàn tỉnh Long An</w:t>
      </w:r>
    </w:p>
    <w:p w:rsidR="0086662D" w:rsidRDefault="00D41A58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</w:t>
      </w:r>
    </w:p>
    <w:p w:rsidR="0086662D" w:rsidRDefault="0086662D">
      <w:pPr>
        <w:widowControl w:val="0"/>
        <w:ind w:firstLine="709"/>
        <w:jc w:val="center"/>
        <w:rPr>
          <w:rFonts w:ascii="Times New Roman" w:hAnsi="Times New Roman"/>
          <w:sz w:val="14"/>
          <w:szCs w:val="28"/>
        </w:rPr>
      </w:pPr>
    </w:p>
    <w:p w:rsidR="0086662D" w:rsidRDefault="00D41A5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ỦY BAN NHÂN DÂN TỈNH LONG AN</w:t>
      </w:r>
    </w:p>
    <w:p w:rsidR="0086662D" w:rsidRDefault="0086662D">
      <w:pPr>
        <w:widowControl w:val="0"/>
        <w:ind w:firstLine="709"/>
        <w:jc w:val="center"/>
        <w:rPr>
          <w:rFonts w:ascii="Times New Roman" w:hAnsi="Times New Roman"/>
          <w:sz w:val="14"/>
          <w:szCs w:val="28"/>
        </w:rPr>
      </w:pPr>
    </w:p>
    <w:p w:rsidR="0086662D" w:rsidRDefault="00D41A58">
      <w:pPr>
        <w:pStyle w:val="BodyTextIndent3"/>
        <w:widowControl w:val="0"/>
        <w:spacing w:before="120" w:after="120"/>
        <w:ind w:firstLine="6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Căn cứ Luật Tổ chức chính quyền địa phương ngày 19/6/2015;</w:t>
      </w:r>
    </w:p>
    <w:p w:rsidR="0086662D" w:rsidRDefault="00D41A58">
      <w:pPr>
        <w:pStyle w:val="BodyTextIndent3"/>
        <w:widowControl w:val="0"/>
        <w:spacing w:before="120" w:after="120"/>
        <w:ind w:firstLine="6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22/11/2019;</w:t>
      </w:r>
    </w:p>
    <w:p w:rsidR="0086662D" w:rsidRDefault="00D41A58">
      <w:pPr>
        <w:pStyle w:val="BodyTextIndent3"/>
        <w:widowControl w:val="0"/>
        <w:spacing w:before="120" w:after="120"/>
        <w:ind w:firstLine="6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Căn cứ Luật Đất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đai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ngày 18/01/2024;</w:t>
      </w:r>
    </w:p>
    <w:p w:rsidR="0086662D" w:rsidRDefault="00D41A58">
      <w:pPr>
        <w:pStyle w:val="BodyTextIndent3"/>
        <w:widowControl w:val="0"/>
        <w:spacing w:before="120" w:after="120"/>
        <w:ind w:firstLine="6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Căn cứ Luật sửa đổi, bổ sung một số điều của Luật Đất đai số 31/2024/QH15, Luật Nhà ở số 27/202</w:t>
      </w:r>
      <w:r>
        <w:rPr>
          <w:rFonts w:ascii="Times New Roman" w:hAnsi="Times New Roman"/>
          <w:i/>
          <w:iCs/>
          <w:sz w:val="28"/>
          <w:szCs w:val="28"/>
        </w:rPr>
        <w:t>3/QH15, Luật Kinh doanh bất động sản số 29/2023/QH15 và Luật các Tổ chức tín dụng số 32/2024/QH15 ngày 29/6/2024;</w:t>
      </w:r>
    </w:p>
    <w:p w:rsidR="0086662D" w:rsidRDefault="00D41A58">
      <w:pPr>
        <w:pStyle w:val="BodyTextIndent3"/>
        <w:widowControl w:val="0"/>
        <w:spacing w:before="120" w:after="120"/>
        <w:ind w:firstLine="6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Căn cứ Nghị định số 102/2024/NĐ-CP ngày 30/7/2024 của Chính phủ quy định chi tiết thi hành một số điều của Luật Đất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đai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6662D" w:rsidRDefault="00D41A58">
      <w:pPr>
        <w:pStyle w:val="BodyTextIndent3"/>
        <w:widowControl w:val="0"/>
        <w:spacing w:before="120" w:after="120"/>
        <w:ind w:firstLine="6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Căn cứ Nghị định số 1</w:t>
      </w:r>
      <w:r>
        <w:rPr>
          <w:rFonts w:ascii="Times New Roman" w:hAnsi="Times New Roman"/>
          <w:i/>
          <w:iCs/>
          <w:sz w:val="28"/>
          <w:szCs w:val="28"/>
        </w:rPr>
        <w:t>12/2024/NĐ-CP ngày 11/9/2024 của Chính phủ quy định chi tiết về đất trồng lúa;</w:t>
      </w:r>
    </w:p>
    <w:p w:rsidR="0086662D" w:rsidRDefault="00D41A58">
      <w:pPr>
        <w:pStyle w:val="BodyTextIndent3"/>
        <w:widowControl w:val="0"/>
        <w:spacing w:before="120" w:after="120"/>
        <w:ind w:firstLine="680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Theo đề nghị của Sở Tài chính tại Tờ trình số 5083/TTr-STC ngày     16/10/2024.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6662D" w:rsidRDefault="00D41A58">
      <w:pPr>
        <w:widowControl w:val="0"/>
        <w:spacing w:before="120"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QUYẾT ĐỊNH:</w:t>
      </w:r>
    </w:p>
    <w:p w:rsidR="0086662D" w:rsidRDefault="00D41A58">
      <w:pPr>
        <w:widowControl w:val="0"/>
        <w:spacing w:before="120" w:after="120"/>
        <w:ind w:firstLine="680"/>
        <w:jc w:val="both"/>
        <w:rPr>
          <w:rFonts w:ascii="Times New Roman" w:hAnsi="Times New Roman"/>
          <w:spacing w:val="-6"/>
          <w:sz w:val="28"/>
          <w:szCs w:val="28"/>
          <w:lang w:val="am-ET"/>
        </w:rPr>
      </w:pPr>
      <w:r>
        <w:rPr>
          <w:rFonts w:ascii="Times New Roman" w:hAnsi="Times New Roman"/>
          <w:b/>
          <w:spacing w:val="-6"/>
          <w:sz w:val="28"/>
          <w:szCs w:val="28"/>
          <w:lang w:val="am-ET"/>
        </w:rPr>
        <w:t>Điều 1.</w:t>
      </w:r>
      <w:r>
        <w:rPr>
          <w:rFonts w:ascii="Times New Roman" w:hAnsi="Times New Roman"/>
          <w:spacing w:val="-6"/>
          <w:sz w:val="28"/>
          <w:szCs w:val="28"/>
          <w:lang w:val="am-ET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Quy định mức nộp tiền </w:t>
      </w:r>
      <w:proofErr w:type="gramStart"/>
      <w:r>
        <w:rPr>
          <w:rFonts w:ascii="Times New Roman" w:hAnsi="Times New Roman"/>
          <w:bCs/>
          <w:sz w:val="28"/>
          <w:szCs w:val="28"/>
        </w:rPr>
        <w:t>theo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diện tích đất chuyên trồng lúa phải chuyển sang mục đích phi nông nghiệp trên địa bàn tỉnh Long An</w:t>
      </w:r>
      <w:r>
        <w:rPr>
          <w:rFonts w:ascii="Times New Roman" w:hAnsi="Times New Roman"/>
          <w:spacing w:val="-6"/>
          <w:sz w:val="28"/>
          <w:szCs w:val="28"/>
          <w:lang w:val="am-ET"/>
        </w:rPr>
        <w:t xml:space="preserve"> như sau:</w:t>
      </w:r>
    </w:p>
    <w:p w:rsidR="0086662D" w:rsidRDefault="0086662D">
      <w:pPr>
        <w:widowControl w:val="0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374"/>
        <w:gridCol w:w="2687"/>
        <w:gridCol w:w="270"/>
        <w:gridCol w:w="3420"/>
        <w:gridCol w:w="270"/>
        <w:gridCol w:w="1170"/>
      </w:tblGrid>
      <w:tr w:rsidR="0086662D">
        <w:trPr>
          <w:jc w:val="center"/>
        </w:trPr>
        <w:tc>
          <w:tcPr>
            <w:tcW w:w="1277" w:type="dxa"/>
            <w:vAlign w:val="center"/>
          </w:tcPr>
          <w:p w:rsidR="0086662D" w:rsidRDefault="00D41A58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Mức nộp</w:t>
            </w:r>
          </w:p>
        </w:tc>
        <w:tc>
          <w:tcPr>
            <w:tcW w:w="374" w:type="dxa"/>
            <w:vAlign w:val="center"/>
          </w:tcPr>
          <w:p w:rsidR="0086662D" w:rsidRDefault="00D41A58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=</w:t>
            </w:r>
          </w:p>
        </w:tc>
        <w:tc>
          <w:tcPr>
            <w:tcW w:w="2687" w:type="dxa"/>
            <w:vAlign w:val="center"/>
          </w:tcPr>
          <w:p w:rsidR="0086662D" w:rsidRDefault="00D41A58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Diện tích đất chuyên trồng lúa phải chuyển sang mục đích phi nông nghiệp</w:t>
            </w:r>
          </w:p>
        </w:tc>
        <w:tc>
          <w:tcPr>
            <w:tcW w:w="270" w:type="dxa"/>
            <w:vAlign w:val="center"/>
          </w:tcPr>
          <w:p w:rsidR="0086662D" w:rsidRDefault="00D41A58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3420" w:type="dxa"/>
            <w:vAlign w:val="center"/>
          </w:tcPr>
          <w:p w:rsidR="0086662D" w:rsidRDefault="00D41A58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Giá của loại đất trồng lúa tính theo Bảng giá đất tại thời điểm chuyển mục đích sử dụng đất do Ủy ban nhân dân tỉnh ban hành</w:t>
            </w:r>
          </w:p>
        </w:tc>
        <w:tc>
          <w:tcPr>
            <w:tcW w:w="270" w:type="dxa"/>
            <w:vAlign w:val="center"/>
          </w:tcPr>
          <w:p w:rsidR="0086662D" w:rsidRDefault="00D41A58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70" w:type="dxa"/>
            <w:vAlign w:val="center"/>
          </w:tcPr>
          <w:p w:rsidR="0086662D" w:rsidRDefault="00D41A58">
            <w:pPr>
              <w:spacing w:before="120" w:after="12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50%</w:t>
            </w:r>
          </w:p>
        </w:tc>
      </w:tr>
    </w:tbl>
    <w:p w:rsidR="0086662D" w:rsidRDefault="00D41A58">
      <w:pPr>
        <w:widowControl w:val="0"/>
        <w:spacing w:before="120" w:after="120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Điều 2.</w:t>
      </w:r>
      <w:proofErr w:type="gramEnd"/>
      <w:r>
        <w:rPr>
          <w:rFonts w:ascii="Times New Roman" w:hAnsi="Times New Roman"/>
          <w:sz w:val="28"/>
          <w:szCs w:val="28"/>
        </w:rPr>
        <w:t xml:space="preserve"> Giao Sở Tài chính chủ trì, phối hợp với các cơ quan, đơn vị có liên quan và UBND các huyện, thị xã, thành phố tổ chứ</w:t>
      </w:r>
      <w:r>
        <w:rPr>
          <w:rFonts w:ascii="Times New Roman" w:hAnsi="Times New Roman"/>
          <w:sz w:val="28"/>
          <w:szCs w:val="28"/>
        </w:rPr>
        <w:t xml:space="preserve">c triển khai,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dõi thực hiện quyết định này. </w:t>
      </w:r>
    </w:p>
    <w:p w:rsidR="0086662D" w:rsidRDefault="00D41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86662D" w:rsidRDefault="00D41A58">
      <w:pPr>
        <w:widowControl w:val="0"/>
        <w:spacing w:before="120" w:after="12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Quyết định n</w:t>
      </w:r>
      <w:r w:rsidR="003177F3">
        <w:rPr>
          <w:rFonts w:ascii="Times New Roman" w:hAnsi="Times New Roman"/>
          <w:sz w:val="28"/>
          <w:szCs w:val="28"/>
        </w:rPr>
        <w:t>ày có hiệu lực kể từ ngày  15  / 11</w:t>
      </w:r>
      <w:r>
        <w:rPr>
          <w:rFonts w:ascii="Times New Roman" w:hAnsi="Times New Roman"/>
          <w:sz w:val="28"/>
          <w:szCs w:val="28"/>
        </w:rPr>
        <w:t xml:space="preserve"> /2024 và thay thế </w:t>
      </w:r>
      <w:r>
        <w:rPr>
          <w:rFonts w:ascii="Times New Roman" w:hAnsi="Times New Roman"/>
          <w:sz w:val="28"/>
          <w:szCs w:val="28"/>
          <w:lang w:val="da-DK"/>
        </w:rPr>
        <w:t>Quyết định số 30/2016/QĐ-UBND ngày 16/6/2016 của UBND tỉnh về việc quy định mức thu tiền bảo vệ, phát triển đất trồng lúa trên địa bà</w:t>
      </w:r>
      <w:r>
        <w:rPr>
          <w:rFonts w:ascii="Times New Roman" w:hAnsi="Times New Roman"/>
          <w:sz w:val="28"/>
          <w:szCs w:val="28"/>
          <w:lang w:val="da-DK"/>
        </w:rPr>
        <w:t>n tỉnh Long An và Quyết định số 47/2016/QĐ-UBND ngày 14/9/2016 của UBND tỉnh về việc sửa đổi, bổ sung Quyết định số 30/2016/QĐ-UBND ngày 16/6/2016 của UBND tỉnh về việc quy định mức thu tiền bảo vệ, phát triển đất trồng lúa trên địa bàn tỉnh Long An.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662D" w:rsidRDefault="00D41A58">
      <w:pPr>
        <w:shd w:val="clear" w:color="auto" w:fill="FFFFFF"/>
        <w:spacing w:before="120" w:after="120"/>
        <w:ind w:firstLine="68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hint="eastAsia"/>
          <w:b/>
          <w:bCs/>
          <w:sz w:val="28"/>
          <w:szCs w:val="28"/>
        </w:rPr>
        <w:t>Đ</w:t>
      </w:r>
      <w:r>
        <w:rPr>
          <w:rFonts w:ascii="Times New Roman" w:hAnsi="Times New Roman"/>
          <w:b/>
          <w:bCs/>
          <w:sz w:val="28"/>
          <w:szCs w:val="28"/>
        </w:rPr>
        <w:t>iều 3.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Điều khoản chuyển tiếp</w:t>
      </w:r>
    </w:p>
    <w:p w:rsidR="0086662D" w:rsidRDefault="00D41A58">
      <w:pPr>
        <w:shd w:val="clear" w:color="auto" w:fill="FFFFFF"/>
        <w:spacing w:before="120" w:after="12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Các tr</w:t>
      </w:r>
      <w:r>
        <w:rPr>
          <w:rFonts w:ascii="Times New Roman" w:hAnsi="Times New Roman" w:hint="eastAsia"/>
          <w:bCs/>
          <w:sz w:val="28"/>
          <w:szCs w:val="28"/>
        </w:rPr>
        <w:t>ư</w:t>
      </w:r>
      <w:r>
        <w:rPr>
          <w:rFonts w:ascii="Times New Roman" w:hAnsi="Times New Roman"/>
          <w:bCs/>
          <w:sz w:val="28"/>
          <w:szCs w:val="28"/>
        </w:rPr>
        <w:t xml:space="preserve">ờng hợp </w:t>
      </w:r>
      <w:r>
        <w:rPr>
          <w:rFonts w:ascii="Times New Roman" w:hAnsi="Times New Roman" w:hint="eastAsia"/>
          <w:bCs/>
          <w:sz w:val="28"/>
          <w:szCs w:val="28"/>
        </w:rPr>
        <w:t>đư</w:t>
      </w:r>
      <w:r>
        <w:rPr>
          <w:rFonts w:ascii="Times New Roman" w:hAnsi="Times New Roman"/>
          <w:bCs/>
          <w:sz w:val="28"/>
          <w:szCs w:val="28"/>
        </w:rPr>
        <w:t>ợc c</w:t>
      </w:r>
      <w:r>
        <w:rPr>
          <w:rFonts w:ascii="Times New Roman" w:hAnsi="Times New Roman" w:hint="eastAsia"/>
          <w:bCs/>
          <w:sz w:val="28"/>
          <w:szCs w:val="28"/>
        </w:rPr>
        <w:t>ơ</w:t>
      </w:r>
      <w:r>
        <w:rPr>
          <w:rFonts w:ascii="Times New Roman" w:hAnsi="Times New Roman"/>
          <w:bCs/>
          <w:sz w:val="28"/>
          <w:szCs w:val="28"/>
        </w:rPr>
        <w:t xml:space="preserve"> quan nhà n</w:t>
      </w:r>
      <w:r>
        <w:rPr>
          <w:rFonts w:ascii="Times New Roman" w:hAnsi="Times New Roman" w:hint="eastAsia"/>
          <w:bCs/>
          <w:sz w:val="28"/>
          <w:szCs w:val="28"/>
        </w:rPr>
        <w:t>ư</w:t>
      </w:r>
      <w:r>
        <w:rPr>
          <w:rFonts w:ascii="Times New Roman" w:hAnsi="Times New Roman"/>
          <w:bCs/>
          <w:sz w:val="28"/>
          <w:szCs w:val="28"/>
        </w:rPr>
        <w:t xml:space="preserve">ớc có thẩm quyền cho phép chuyển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mục </w:t>
      </w:r>
      <w:r>
        <w:rPr>
          <w:rFonts w:ascii="Times New Roman" w:hAnsi="Times New Roman" w:hint="eastAsia"/>
          <w:bCs/>
          <w:color w:val="auto"/>
          <w:sz w:val="28"/>
          <w:szCs w:val="28"/>
        </w:rPr>
        <w:t>đí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ch </w:t>
      </w:r>
      <w:bookmarkStart w:id="0" w:name="_GoBack"/>
      <w:bookmarkEnd w:id="0"/>
      <w:r>
        <w:rPr>
          <w:rFonts w:ascii="Times New Roman" w:hAnsi="Times New Roman"/>
          <w:bCs/>
          <w:color w:val="auto"/>
          <w:sz w:val="28"/>
          <w:szCs w:val="28"/>
        </w:rPr>
        <w:t xml:space="preserve">sử dụng từ </w:t>
      </w:r>
      <w:r>
        <w:rPr>
          <w:rFonts w:ascii="Times New Roman" w:hAnsi="Times New Roman" w:hint="eastAsia"/>
          <w:bCs/>
          <w:color w:val="auto"/>
          <w:sz w:val="28"/>
          <w:szCs w:val="28"/>
        </w:rPr>
        <w:t>đ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ất chuyên trồng lúa sang mục </w:t>
      </w:r>
      <w:r>
        <w:rPr>
          <w:rFonts w:ascii="Times New Roman" w:hAnsi="Times New Roman" w:hint="eastAsia"/>
          <w:bCs/>
          <w:color w:val="auto"/>
          <w:sz w:val="28"/>
          <w:szCs w:val="28"/>
        </w:rPr>
        <w:t>đí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ch phi nông nghiệp từ ngày 11/9/2024 </w:t>
      </w:r>
      <w:r>
        <w:rPr>
          <w:rFonts w:ascii="Times New Roman" w:hAnsi="Times New Roman" w:hint="eastAsia"/>
          <w:bCs/>
          <w:color w:val="auto"/>
          <w:sz w:val="28"/>
          <w:szCs w:val="28"/>
        </w:rPr>
        <w:t>đư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ợc </w:t>
      </w:r>
      <w:r>
        <w:rPr>
          <w:rFonts w:ascii="Times New Roman" w:hAnsi="Times New Roman"/>
          <w:bCs/>
          <w:sz w:val="28"/>
          <w:szCs w:val="28"/>
        </w:rPr>
        <w:t xml:space="preserve">thực hiện </w:t>
      </w:r>
      <w:proofErr w:type="gramStart"/>
      <w:r>
        <w:rPr>
          <w:rFonts w:ascii="Times New Roman" w:hAnsi="Times New Roman"/>
          <w:bCs/>
          <w:sz w:val="28"/>
          <w:szCs w:val="28"/>
        </w:rPr>
        <w:t>theo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quy </w:t>
      </w:r>
      <w:r>
        <w:rPr>
          <w:rFonts w:ascii="Times New Roman" w:hAnsi="Times New Roman" w:hint="eastAsia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 xml:space="preserve">ịnh tại Nghị </w:t>
      </w:r>
      <w:r>
        <w:rPr>
          <w:rFonts w:ascii="Times New Roman" w:hAnsi="Times New Roman" w:hint="eastAsia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>ịnh số 112/2024/N</w:t>
      </w:r>
      <w:r>
        <w:rPr>
          <w:rFonts w:ascii="Times New Roman" w:hAnsi="Times New Roman" w:hint="eastAsia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 xml:space="preserve">-CP ngày 11/9/2024 của Chính phủ và Quyết </w:t>
      </w:r>
      <w:r>
        <w:rPr>
          <w:rFonts w:ascii="Times New Roman" w:hAnsi="Times New Roman" w:hint="eastAsia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>ịnh này.</w:t>
      </w:r>
    </w:p>
    <w:p w:rsidR="0086662D" w:rsidRDefault="00D41A58">
      <w:pPr>
        <w:shd w:val="clear" w:color="auto" w:fill="FFFFFF"/>
        <w:spacing w:before="120" w:after="120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Điều 4.</w:t>
      </w:r>
      <w:proofErr w:type="gramEnd"/>
      <w:r>
        <w:rPr>
          <w:rFonts w:ascii="Times New Roman" w:hAnsi="Times New Roman"/>
          <w:sz w:val="28"/>
          <w:szCs w:val="28"/>
        </w:rPr>
        <w:t> Chánh Văn phòng UBND tỉnh, Thủ trưởng các sở, ngành tỉnh; Chủ tịch UBND các huyện, thị xã, thành phố và các cơ quan, đơn vị, cá nhân có liên quan chịu trách nhiệm thi hành Quyết định này./.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614"/>
      </w:tblGrid>
      <w:tr w:rsidR="0086662D">
        <w:trPr>
          <w:trHeight w:val="546"/>
          <w:tblCellSpacing w:w="0" w:type="dxa"/>
        </w:trPr>
        <w:tc>
          <w:tcPr>
            <w:tcW w:w="4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2D" w:rsidRDefault="00D41A58">
            <w:pPr>
              <w:widowControl w:val="0"/>
              <w:tabs>
                <w:tab w:val="left" w:pos="6323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ận:</w:t>
            </w:r>
          </w:p>
          <w:p w:rsidR="0086662D" w:rsidRDefault="00D41A58">
            <w:pPr>
              <w:widowControl w:val="0"/>
              <w:tabs>
                <w:tab w:val="left" w:pos="7514"/>
              </w:tabs>
              <w:outlineLvl w:val="3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Như điều 4; </w:t>
            </w:r>
          </w:p>
          <w:p w:rsidR="0086662D" w:rsidRDefault="00D41A58">
            <w:pPr>
              <w:widowControl w:val="0"/>
              <w:tabs>
                <w:tab w:val="left" w:pos="7372"/>
              </w:tabs>
              <w:outlineLvl w:val="3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Bộ Tài chính;</w:t>
            </w:r>
          </w:p>
          <w:p w:rsidR="0086662D" w:rsidRDefault="00D41A58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Bộ Tài nguyên và Môi trường;</w:t>
            </w:r>
          </w:p>
          <w:p w:rsidR="0086662D" w:rsidRDefault="00D41A58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Văn phòng Chính phủ (Cục KSTTHC)</w:t>
            </w:r>
          </w:p>
          <w:p w:rsidR="0086662D" w:rsidRDefault="00D41A58">
            <w:pPr>
              <w:widowControl w:val="0"/>
              <w:tabs>
                <w:tab w:val="left" w:pos="7514"/>
              </w:tabs>
              <w:outlineLvl w:val="3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Bộ Tư pháp (Cục kiểm tra VBQPPL);</w:t>
            </w:r>
          </w:p>
          <w:p w:rsidR="0086662D" w:rsidRDefault="00D41A58">
            <w:pPr>
              <w:widowControl w:val="0"/>
              <w:tabs>
                <w:tab w:val="left" w:pos="7514"/>
              </w:tabs>
              <w:outlineLvl w:val="3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Bộ Tài chính (Vụ Pháp chế);</w:t>
            </w:r>
          </w:p>
          <w:p w:rsidR="0086662D" w:rsidRDefault="00D41A58">
            <w:pPr>
              <w:widowControl w:val="0"/>
              <w:tabs>
                <w:tab w:val="left" w:pos="7514"/>
              </w:tabs>
              <w:outlineLvl w:val="3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TT.TU, TT.HĐND tỉnh;</w:t>
            </w:r>
          </w:p>
          <w:p w:rsidR="0086662D" w:rsidRDefault="00D41A58">
            <w:pPr>
              <w:widowControl w:val="0"/>
              <w:tabs>
                <w:tab w:val="left" w:pos="4180"/>
              </w:tabs>
              <w:outlineLvl w:val="3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TT.UBMTTQVN và các Đoàn thể tỉnh;</w:t>
            </w:r>
          </w:p>
          <w:p w:rsidR="0086662D" w:rsidRDefault="00D41A5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CT, các PCT.UBND tỉnh;</w:t>
            </w:r>
          </w:p>
          <w:p w:rsidR="0086662D" w:rsidRDefault="00D41A5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/>
                <w:sz w:val="22"/>
                <w:szCs w:val="22"/>
              </w:rPr>
              <w:t>CVP, PCVP. UBND tỉnh;</w:t>
            </w:r>
          </w:p>
          <w:p w:rsidR="0086662D" w:rsidRDefault="00D41A5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Trung tâm Công báo tỉnh;</w:t>
            </w:r>
          </w:p>
          <w:p w:rsidR="0086662D" w:rsidRDefault="00D41A5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Cổng thông tin điện tử tỉnh;</w:t>
            </w:r>
          </w:p>
          <w:p w:rsidR="0086662D" w:rsidRDefault="00D41A5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Phòng: THKSTTHC, KTTC, VHXH;</w:t>
            </w:r>
          </w:p>
          <w:p w:rsidR="0086662D" w:rsidRDefault="00D41A5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Ban Nội chính - TCD;</w:t>
            </w:r>
          </w:p>
          <w:p w:rsidR="0086662D" w:rsidRDefault="00D41A5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Luan.</w:t>
            </w:r>
          </w:p>
        </w:tc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62D" w:rsidRDefault="00D41A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TM. ỦY BAN NHÂN DÂN</w:t>
            </w:r>
          </w:p>
          <w:p w:rsidR="003177F3" w:rsidRDefault="003177F3">
            <w:pPr>
              <w:spacing w:line="264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KT. </w:t>
            </w:r>
            <w:r w:rsidR="00D41A58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  <w:r w:rsidR="00D41A5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PHÓ CHỦ TỊCH</w:t>
            </w:r>
            <w:r w:rsidR="00D41A5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3177F3" w:rsidRPr="003177F3" w:rsidRDefault="003177F3" w:rsidP="003177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7F3" w:rsidRPr="003177F3" w:rsidRDefault="003177F3" w:rsidP="003177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7F3" w:rsidRPr="003177F3" w:rsidRDefault="003177F3" w:rsidP="003177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7F3" w:rsidRPr="003177F3" w:rsidRDefault="003177F3" w:rsidP="003177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7F3" w:rsidRDefault="003177F3" w:rsidP="003177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7F3" w:rsidRDefault="003177F3" w:rsidP="003177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662D" w:rsidRPr="003177F3" w:rsidRDefault="003177F3" w:rsidP="00317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7F3">
              <w:rPr>
                <w:rFonts w:ascii="Times New Roman" w:hAnsi="Times New Roman"/>
                <w:b/>
                <w:sz w:val="24"/>
                <w:szCs w:val="24"/>
              </w:rPr>
              <w:t>Nguyễn Minh Lâm</w:t>
            </w:r>
          </w:p>
        </w:tc>
      </w:tr>
    </w:tbl>
    <w:p w:rsidR="0086662D" w:rsidRDefault="0086662D">
      <w:pPr>
        <w:widowControl w:val="0"/>
        <w:tabs>
          <w:tab w:val="center" w:pos="7371"/>
        </w:tabs>
        <w:ind w:left="-142"/>
        <w:outlineLvl w:val="0"/>
        <w:rPr>
          <w:rFonts w:ascii="Times New Roman" w:hAnsi="Times New Roman"/>
          <w:sz w:val="2"/>
        </w:rPr>
      </w:pPr>
    </w:p>
    <w:sectPr w:rsidR="0086662D">
      <w:headerReference w:type="default" r:id="rId8"/>
      <w:footerReference w:type="first" r:id="rId9"/>
      <w:pgSz w:w="11907" w:h="16840"/>
      <w:pgMar w:top="1134" w:right="1134" w:bottom="1134" w:left="1701" w:header="62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58" w:rsidRDefault="00D41A58">
      <w:r>
        <w:separator/>
      </w:r>
    </w:p>
  </w:endnote>
  <w:endnote w:type="continuationSeparator" w:id="0">
    <w:p w:rsidR="00D41A58" w:rsidRDefault="00D4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2D" w:rsidRDefault="00D41A58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>D:\Giadatdieuchinh\Giadat2005\QDUBNDBGD.doc</w:instrTex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58" w:rsidRDefault="00D41A58">
      <w:r>
        <w:separator/>
      </w:r>
    </w:p>
  </w:footnote>
  <w:footnote w:type="continuationSeparator" w:id="0">
    <w:p w:rsidR="00D41A58" w:rsidRDefault="00D4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858240"/>
      <w:docPartObj>
        <w:docPartGallery w:val="Page Numbers (Top of Page)"/>
        <w:docPartUnique/>
      </w:docPartObj>
    </w:sdtPr>
    <w:sdtEndPr/>
    <w:sdtContent>
      <w:p w:rsidR="0086662D" w:rsidRDefault="00D41A58">
        <w:pPr>
          <w:pStyle w:val="Head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3177F3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86662D" w:rsidRDefault="008666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2D"/>
    <w:rsid w:val="003177F3"/>
    <w:rsid w:val="0086662D"/>
    <w:rsid w:val="00D4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keepNext/>
      <w:ind w:firstLine="720"/>
      <w:jc w:val="center"/>
      <w:outlineLvl w:val="5"/>
    </w:pPr>
    <w:rPr>
      <w:rFonts w:ascii="Times New Roman" w:hAnsi="Times New Roman"/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firstLine="567"/>
      <w:jc w:val="both"/>
    </w:pPr>
  </w:style>
  <w:style w:type="table" w:styleId="TableGrid">
    <w:name w:val="Table Grid"/>
    <w:basedOn w:val="TableNormal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harCharCharChar">
    <w:name w:val="Char Char Char Char"/>
    <w:next w:val="Normal"/>
    <w:semiHidden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styleId="PlainText">
    <w:name w:val="Plain Text"/>
    <w:basedOn w:val="Normal"/>
    <w:link w:val="PlainTextCh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ourier New" w:hAnsi="Courier New"/>
      <w:color w:val="auto"/>
      <w:sz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NI-Times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keepNext/>
      <w:ind w:firstLine="720"/>
      <w:jc w:val="center"/>
      <w:outlineLvl w:val="5"/>
    </w:pPr>
    <w:rPr>
      <w:rFonts w:ascii="Times New Roman" w:hAnsi="Times New Roman"/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firstLine="567"/>
      <w:jc w:val="both"/>
    </w:pPr>
  </w:style>
  <w:style w:type="table" w:styleId="TableGrid">
    <w:name w:val="Table Grid"/>
    <w:basedOn w:val="TableNormal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harCharCharChar">
    <w:name w:val="Char Char Char Char"/>
    <w:next w:val="Normal"/>
    <w:semiHidden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styleId="PlainText">
    <w:name w:val="Plain Text"/>
    <w:basedOn w:val="Normal"/>
    <w:link w:val="PlainTextCh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ourier New" w:hAnsi="Courier New"/>
      <w:color w:val="auto"/>
      <w:sz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NI-Times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8C59C-21EA-4DB5-B877-5D451F548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61E92-B35D-487D-83DC-2223B3126CE4}"/>
</file>

<file path=customXml/itemProps3.xml><?xml version="1.0" encoding="utf-8"?>
<ds:datastoreItem xmlns:ds="http://schemas.openxmlformats.org/officeDocument/2006/customXml" ds:itemID="{D1D172FD-3AF8-4467-930C-9F29C26C8D2B}"/>
</file>

<file path=customXml/itemProps4.xml><?xml version="1.0" encoding="utf-8"?>
<ds:datastoreItem xmlns:ds="http://schemas.openxmlformats.org/officeDocument/2006/customXml" ds:itemID="{F6C4A661-14CC-4E69-A9AB-75DAD07B8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2024-11-01T01:15:00Z</dcterms:created>
  <dcterms:modified xsi:type="dcterms:W3CDTF">2024-11-01T01:15:00Z</dcterms:modified>
</cp:coreProperties>
</file>